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C3" w:rsidRPr="00580BC3" w:rsidRDefault="00580BC3" w:rsidP="00580BC3">
      <w:pPr>
        <w:shd w:val="clear" w:color="auto" w:fill="FFFFFF"/>
        <w:spacing w:after="0" w:line="240" w:lineRule="auto"/>
        <w:jc w:val="both"/>
        <w:outlineLvl w:val="0"/>
        <w:rPr>
          <w:rFonts w:eastAsia="Times New Roman" w:cs="Times New Roman"/>
          <w:szCs w:val="28"/>
          <w:u w:color="000000"/>
          <w:shd w:val="clear" w:color="auto" w:fill="FFFFFF"/>
        </w:rPr>
      </w:pPr>
      <w:bookmarkStart w:id="0" w:name="_Toc146465283"/>
      <w:bookmarkStart w:id="1" w:name="_Toc151380321"/>
      <w:r w:rsidRPr="00580BC3">
        <w:rPr>
          <w:rFonts w:eastAsia="Times New Roman" w:cs="Times New Roman"/>
          <w:b/>
          <w:sz w:val="24"/>
          <w:szCs w:val="24"/>
          <w:u w:color="000000"/>
        </w:rPr>
        <w:t xml:space="preserve">TRỢ GIÚP VIÊN PHÁP LÝ, </w:t>
      </w:r>
      <w:r w:rsidRPr="00580BC3">
        <w:rPr>
          <w:rFonts w:eastAsia="Times New Roman" w:cs="Times New Roman"/>
          <w:szCs w:val="28"/>
          <w:u w:color="000000"/>
          <w:shd w:val="clear" w:color="auto" w:fill="FFFFFF"/>
        </w:rPr>
        <w:t>viên chức của Trung tâm trợ giúp pháp lý nhà nước, được Chủ tịch Uỷ ban nhân dân cấp tỉnh bổ nhiệm và cấp thẻ.</w:t>
      </w:r>
      <w:bookmarkEnd w:id="0"/>
      <w:bookmarkEnd w:id="1"/>
      <w:r w:rsidRPr="00580BC3">
        <w:rPr>
          <w:rFonts w:eastAsia="Times New Roman" w:cs="Times New Roman"/>
          <w:szCs w:val="28"/>
          <w:u w:color="000000"/>
          <w:shd w:val="clear" w:color="auto" w:fill="FFFFFF"/>
        </w:rPr>
        <w:t xml:space="preserve"> </w:t>
      </w:r>
    </w:p>
    <w:p w:rsidR="00580BC3" w:rsidRPr="00580BC3" w:rsidRDefault="00580BC3" w:rsidP="00580BC3">
      <w:pPr>
        <w:shd w:val="clear" w:color="auto" w:fill="FFFFFF"/>
        <w:spacing w:after="0" w:line="240" w:lineRule="auto"/>
        <w:jc w:val="both"/>
        <w:rPr>
          <w:rFonts w:eastAsia="Times New Roman" w:cs="Times New Roman"/>
          <w:b/>
          <w:sz w:val="24"/>
          <w:szCs w:val="24"/>
          <w:u w:color="000000"/>
        </w:rPr>
      </w:pPr>
      <w:r w:rsidRPr="00580BC3">
        <w:rPr>
          <w:rFonts w:eastAsia="Times New Roman" w:cs="Times New Roman"/>
          <w:szCs w:val="28"/>
          <w:u w:color="000000"/>
          <w:shd w:val="clear" w:color="auto" w:fill="FFFFFF"/>
        </w:rPr>
        <w:tab/>
        <w:t xml:space="preserve">TGVP  chịu sự điều chỉnh của pháp luật về viên chức, đồng thời phải đáp ứng các điều kiện, tiêu chuẩn về TGVPL và quy trình cử người tham gia tố tụng theo quy định của pháp luật TGPL, cũng như điều kiện về người bào chữa, người bảo vệ quyền và lợi ích hợp pháp để tham gia tố tụng theo quy định của pháp luật tố tụng hình sự. </w:t>
      </w:r>
    </w:p>
    <w:p w:rsidR="00580BC3" w:rsidRPr="00580BC3" w:rsidRDefault="00580BC3" w:rsidP="00580BC3">
      <w:pPr>
        <w:shd w:val="clear" w:color="auto" w:fill="FFFFFF"/>
        <w:spacing w:after="0" w:line="240" w:lineRule="auto"/>
        <w:ind w:firstLine="108"/>
        <w:jc w:val="both"/>
        <w:textAlignment w:val="baseline"/>
        <w:rPr>
          <w:rFonts w:eastAsia="Times New Roman" w:cs="Times New Roman"/>
          <w:szCs w:val="28"/>
          <w:u w:color="000000"/>
          <w:shd w:val="clear" w:color="auto" w:fill="FFFFFF"/>
        </w:rPr>
      </w:pPr>
      <w:r w:rsidRPr="00580BC3">
        <w:rPr>
          <w:rFonts w:eastAsia="Times New Roman" w:cs="Times New Roman"/>
          <w:szCs w:val="28"/>
          <w:u w:color="000000"/>
          <w:shd w:val="clear" w:color="auto" w:fill="FFFFFF"/>
        </w:rPr>
        <w:tab/>
        <w:t>TGVPL là công dân Việt Nam có đủ các tiêu chuẩn sau: có phẩm chất đạo đức tốt; trình độ cử nhân luật trở lên; đã được đào tạo nghề luật sư hoặc được miễn đào tạo nghề luật sư; đã qua thời gian tập sự hành nghề luật sư hoặc tập sự trợ giúp pháp lý (thời gian tập sự là 12 tháng); có sức khỏe bảo đảm thực hiện trợ giúp pháp lý; không trong thời gian bị xử lý kỷ luật.</w:t>
      </w:r>
      <w:r w:rsidRPr="00580BC3">
        <w:rPr>
          <w:rFonts w:eastAsia="Times New Roman" w:cs="Times New Roman"/>
          <w:szCs w:val="28"/>
          <w:u w:color="000000"/>
        </w:rPr>
        <w:t xml:space="preserve"> </w:t>
      </w:r>
      <w:r w:rsidRPr="00580BC3">
        <w:rPr>
          <w:rFonts w:eastAsia="Times New Roman" w:cs="Times New Roman"/>
          <w:szCs w:val="28"/>
          <w:u w:color="000000"/>
          <w:shd w:val="clear" w:color="auto" w:fill="FFFFFF"/>
        </w:rPr>
        <w:t>TGVPL</w:t>
      </w:r>
      <w:r w:rsidRPr="00580BC3">
        <w:rPr>
          <w:rFonts w:eastAsia="Times New Roman" w:cs="Times New Roman"/>
          <w:szCs w:val="28"/>
          <w:u w:color="000000"/>
        </w:rPr>
        <w:t xml:space="preserve"> phải </w:t>
      </w:r>
      <w:r w:rsidRPr="00580BC3">
        <w:rPr>
          <w:rFonts w:eastAsia="Times New Roman" w:cs="Times New Roman"/>
          <w:szCs w:val="28"/>
          <w:u w:color="000000"/>
          <w:shd w:val="clear" w:color="auto" w:fill="FFFFFF"/>
        </w:rPr>
        <w:t xml:space="preserve">có kiến thức, kỹ năng và kinh nghiệm để tham gia bào chữa, bảo vệ quyền và lợi ích hợp pháp của người thuộc diện được Trợ giúp pháp lý. </w:t>
      </w:r>
    </w:p>
    <w:p w:rsidR="00580BC3" w:rsidRPr="00580BC3" w:rsidRDefault="00580BC3" w:rsidP="00580BC3">
      <w:pPr>
        <w:shd w:val="clear" w:color="auto" w:fill="FFFFFF"/>
        <w:spacing w:after="0" w:line="240" w:lineRule="auto"/>
        <w:ind w:firstLine="108"/>
        <w:jc w:val="both"/>
        <w:textAlignment w:val="baseline"/>
        <w:rPr>
          <w:rFonts w:eastAsia="Times New Roman" w:cs="Times New Roman"/>
          <w:szCs w:val="28"/>
          <w:u w:color="000000"/>
          <w:shd w:val="clear" w:color="auto" w:fill="FFFFFF"/>
        </w:rPr>
      </w:pPr>
      <w:r w:rsidRPr="00580BC3">
        <w:rPr>
          <w:rFonts w:eastAsia="Times New Roman" w:cs="Times New Roman"/>
          <w:szCs w:val="28"/>
          <w:u w:color="000000"/>
          <w:shd w:val="clear" w:color="auto" w:fill="FFFFFF"/>
        </w:rPr>
        <w:t xml:space="preserve">         TGVPL được thực hiện các vụ việc trong các lĩnh vực pháp luật, trừ lĩnh vực kinh doanh, thương mại; được hưởng lương viên chức theo hạng chức danh nghề nghiệp và phụ cấp trách nhiệm theo nghề và được bồi dưỡng khi thực hiện vụ việc trợ giúp pháp lý. </w:t>
      </w:r>
    </w:p>
    <w:p w:rsidR="00580BC3" w:rsidRPr="00580BC3" w:rsidRDefault="00580BC3" w:rsidP="00580BC3">
      <w:pPr>
        <w:shd w:val="clear" w:color="auto" w:fill="FFFFFF"/>
        <w:spacing w:after="0" w:line="240" w:lineRule="auto"/>
        <w:ind w:firstLine="108"/>
        <w:jc w:val="both"/>
        <w:rPr>
          <w:rFonts w:eastAsia="Times New Roman" w:cs="Times New Roman"/>
          <w:szCs w:val="28"/>
          <w:u w:color="000000"/>
          <w:shd w:val="clear" w:color="auto" w:fill="FFFFFF"/>
        </w:rPr>
      </w:pPr>
      <w:r w:rsidRPr="00580BC3">
        <w:rPr>
          <w:rFonts w:eastAsia="Times New Roman" w:cs="Times New Roman"/>
          <w:szCs w:val="28"/>
          <w:u w:color="000000"/>
          <w:shd w:val="clear" w:color="auto" w:fill="FFFFFF"/>
        </w:rPr>
        <w:tab/>
        <w:t>TGVPL có quyền và nghĩa vụ: a) Thực hiện trợ giúp pháp lý; b) Được bảo đảm thực hiện trợ giúp pháp lý độc lập, không bị đe dọa, cản trở, sách nhiễu hoặc can thiệp trái pháp luật; c) Từ chối hoặc không tiếp tục thực hiện trợ giúp pháp lý trong các trường hợp do pháp luật quy định; d) Được bồi dưỡng, tập huấn kỹ năng chuyên môn, nghiệp vụ trợ giúp pháp lý; đ) Bảo đảm chất lượng vụ việc trợ giúp pháp lý; e) Tuân thủ nguyên tắc hoạt động trợ giúp pháp lý; g) Nghiêm chỉnh chấp hành nội quy nơi thực hiện trợ giúp pháp lý; h) Bồi thường hoặc hoàn trả một khoản tiền cho tổ chức thực hiện trợ giúp pháp lý đã trả cho người bị thiệt hại do lỗi của mình gây ra khi thực hiện trợ giúp pháp lý theo quy định của pháp luật.</w:t>
      </w:r>
    </w:p>
    <w:p w:rsidR="00580BC3" w:rsidRPr="00580BC3" w:rsidRDefault="00580BC3" w:rsidP="00580BC3">
      <w:pPr>
        <w:shd w:val="clear" w:color="auto" w:fill="FFFFFF"/>
        <w:spacing w:after="0" w:line="240" w:lineRule="auto"/>
        <w:ind w:firstLine="108"/>
        <w:jc w:val="both"/>
        <w:rPr>
          <w:rFonts w:eastAsia="Times New Roman" w:cs="Times New Roman"/>
          <w:szCs w:val="28"/>
          <w:u w:color="000000"/>
          <w:lang w:val="vi-VN" w:eastAsia="vi-VN"/>
        </w:rPr>
      </w:pPr>
      <w:r w:rsidRPr="00580BC3">
        <w:rPr>
          <w:rFonts w:eastAsia="Times New Roman" w:cs="Times New Roman"/>
          <w:szCs w:val="28"/>
          <w:u w:color="000000"/>
          <w:lang w:eastAsia="vi-VN"/>
        </w:rPr>
        <w:tab/>
      </w:r>
      <w:r w:rsidRPr="00580BC3">
        <w:rPr>
          <w:rFonts w:eastAsia="Times New Roman" w:cs="Times New Roman"/>
          <w:szCs w:val="28"/>
          <w:u w:color="000000"/>
          <w:lang w:val="vi-VN" w:eastAsia="vi-VN"/>
        </w:rPr>
        <w:t>Thủ tục bổ nhiệm, cấp thẻ</w:t>
      </w:r>
      <w:r w:rsidRPr="00580BC3">
        <w:rPr>
          <w:rFonts w:eastAsia="Times New Roman" w:cs="Times New Roman"/>
          <w:szCs w:val="28"/>
          <w:u w:color="000000"/>
          <w:lang w:eastAsia="vi-VN"/>
        </w:rPr>
        <w:t xml:space="preserve"> TGVPL như sau: </w:t>
      </w:r>
      <w:r w:rsidRPr="00580BC3">
        <w:rPr>
          <w:rFonts w:eastAsia="Times New Roman" w:cs="Times New Roman"/>
          <w:szCs w:val="28"/>
          <w:u w:color="000000"/>
          <w:lang w:val="vi-VN" w:eastAsia="vi-VN"/>
        </w:rPr>
        <w:t xml:space="preserve">Giám đốc Trung tâm trợ giúp pháp lý nhà nước lập danh sách những người làm việc ở Trung tâm có đủ tiêu chuẩn </w:t>
      </w:r>
      <w:r w:rsidRPr="00580BC3">
        <w:rPr>
          <w:rFonts w:eastAsia="Times New Roman" w:cs="Times New Roman"/>
          <w:szCs w:val="28"/>
          <w:u w:color="000000"/>
          <w:lang w:eastAsia="vi-VN"/>
        </w:rPr>
        <w:t xml:space="preserve">theo </w:t>
      </w:r>
      <w:r w:rsidRPr="00580BC3">
        <w:rPr>
          <w:rFonts w:eastAsia="Times New Roman" w:cs="Times New Roman"/>
          <w:szCs w:val="28"/>
          <w:u w:color="000000"/>
          <w:lang w:val="vi-VN" w:eastAsia="vi-VN"/>
        </w:rPr>
        <w:t>quy định gửi Sở Tư pháp đề nghị bổ nhiệm, cấp thẻ</w:t>
      </w:r>
      <w:r w:rsidRPr="00580BC3">
        <w:rPr>
          <w:rFonts w:eastAsia="Times New Roman" w:cs="Times New Roman"/>
          <w:szCs w:val="28"/>
          <w:u w:color="000000"/>
          <w:lang w:eastAsia="vi-VN"/>
        </w:rPr>
        <w:t xml:space="preserve"> TGVPL</w:t>
      </w:r>
      <w:r w:rsidRPr="00580BC3">
        <w:rPr>
          <w:rFonts w:eastAsia="Times New Roman" w:cs="Times New Roman"/>
          <w:szCs w:val="28"/>
          <w:u w:color="000000"/>
          <w:lang w:val="vi-VN" w:eastAsia="vi-VN"/>
        </w:rPr>
        <w:t>. Giám đốc Sở Tư pháp lập hồ sơ trình Chủ tịch Ủy ban nhân dân cấp tỉnh, gồm: a) Văn bản của Giám đốc Sở Tư pháp đề nghị bổ nhiệm TGVPL; b) Lý lịch trích ngang của người được đề nghị bổ nhiệm; c) 02 ảnh màu chân dung cỡ 2 cm x 3 cm; d) Bản sao có chứng thực Bằng tốt nghiệp đại học hoặc sau đại học chuyên ngành luật; đ) Bản sao có chứng thực Giấy chứng nhận kiểm tra kết quả tập sự hành nghề luật sư hoặc Giấy chứng nhận kiểm tra kết quả tập sự trợ giúp pháp lý; trường hợp được miễn tập sự trợ giúp pháp lý thì phải có bản sao có chứng thực giấy tờ chứng minh là người được miễn tập sự trợ giúp pháp lý; e) Giấy chứng nhận sức khỏe.</w:t>
      </w:r>
    </w:p>
    <w:p w:rsidR="00580BC3" w:rsidRPr="00580BC3" w:rsidRDefault="00580BC3" w:rsidP="00580BC3">
      <w:pPr>
        <w:shd w:val="clear" w:color="auto" w:fill="FFFFFF"/>
        <w:spacing w:after="0" w:line="240" w:lineRule="auto"/>
        <w:ind w:firstLine="108"/>
        <w:jc w:val="both"/>
        <w:rPr>
          <w:rFonts w:eastAsia="Times New Roman" w:cs="Times New Roman"/>
          <w:szCs w:val="28"/>
          <w:u w:color="000000"/>
          <w:lang w:val="vi-VN"/>
        </w:rPr>
      </w:pPr>
      <w:r w:rsidRPr="00580BC3">
        <w:rPr>
          <w:rFonts w:eastAsia="Times New Roman" w:cs="Times New Roman"/>
          <w:szCs w:val="28"/>
          <w:u w:color="000000"/>
          <w:lang w:val="vi-VN"/>
        </w:rPr>
        <w:tab/>
        <w:t xml:space="preserve">TGVPL bị miễn nhiệm và thu hồi thẻ hành nghề khi thuộc một trong các trường hợp sau đây: Không còn đủ tiêu chuẩn làm TGVPL; bị xử lý kỷ luật bằng hình thức buộc thôi việc; chuyển công tác khác hoặc thôi việc theo nguyện vọng; không thực hiện vụ việc tham gia tố tụng trong thời gian 02 năm liên tục, trừ trường hợp do nguyên nhân khách quan; bị xử lý kỷ luật bằng hình thức cảnh cáo từ lần thứ 02 trở lên hoặc cách chức do thực hiện hành vi quy định tại điểm a, b, </w:t>
      </w:r>
      <w:r w:rsidRPr="00580BC3">
        <w:rPr>
          <w:rFonts w:eastAsia="Times New Roman" w:cs="Times New Roman"/>
          <w:szCs w:val="28"/>
          <w:u w:color="000000"/>
          <w:lang w:val="vi-VN"/>
        </w:rPr>
        <w:lastRenderedPageBreak/>
        <w:t>đ hoặc e khoản 1 Điều 6 </w:t>
      </w:r>
      <w:hyperlink r:id="rId4" w:tgtFrame="_blank" w:history="1">
        <w:r w:rsidRPr="00580BC3">
          <w:rPr>
            <w:rFonts w:eastAsia="Times New Roman" w:cs="Times New Roman"/>
            <w:szCs w:val="28"/>
            <w:u w:color="000000"/>
            <w:lang w:val="vi-VN"/>
          </w:rPr>
          <w:t>Luật Trợ giúp pháp lý 2017</w:t>
        </w:r>
      </w:hyperlink>
      <w:r w:rsidRPr="00580BC3">
        <w:rPr>
          <w:rFonts w:eastAsia="Times New Roman" w:cs="Times New Roman"/>
          <w:szCs w:val="28"/>
          <w:u w:color="000000"/>
          <w:lang w:val="vi-VN"/>
        </w:rPr>
        <w:t>; đang bị cấm hành nghề trong thời gian nhất định theo quyết định của cơ quan có thẩm quyền.</w:t>
      </w:r>
    </w:p>
    <w:p w:rsidR="00580BC3" w:rsidRPr="00580BC3" w:rsidRDefault="00580BC3" w:rsidP="00580BC3">
      <w:pPr>
        <w:shd w:val="clear" w:color="auto" w:fill="FFFFFF"/>
        <w:spacing w:after="0" w:line="240" w:lineRule="auto"/>
        <w:ind w:firstLine="108"/>
        <w:jc w:val="both"/>
        <w:textAlignment w:val="baseline"/>
        <w:rPr>
          <w:rFonts w:eastAsia="Times New Roman" w:cs="Times New Roman"/>
          <w:szCs w:val="28"/>
          <w:u w:color="000000"/>
          <w:shd w:val="clear" w:color="auto" w:fill="FFFFFF"/>
          <w:lang w:val="vi-VN"/>
        </w:rPr>
      </w:pPr>
      <w:r w:rsidRPr="00580BC3">
        <w:rPr>
          <w:rFonts w:eastAsia="Times New Roman" w:cs="Times New Roman"/>
          <w:szCs w:val="28"/>
          <w:u w:color="000000"/>
          <w:shd w:val="clear" w:color="auto" w:fill="FFFFFF"/>
          <w:lang w:val="vi-VN"/>
        </w:rPr>
        <w:tab/>
        <w:t xml:space="preserve">TGVPL có vai trò quan trọng trong việc bảo đảm quyền con người, quyền công dân trong </w:t>
      </w:r>
      <w:r w:rsidRPr="00580BC3">
        <w:rPr>
          <w:rFonts w:eastAsia="Times New Roman" w:cs="Times New Roman"/>
          <w:szCs w:val="28"/>
          <w:u w:color="000000"/>
          <w:lang w:val="vi-VN"/>
        </w:rPr>
        <w:t>tiếp cận công lý và bình đẳng trước pháp luật</w:t>
      </w:r>
      <w:r w:rsidRPr="00580BC3">
        <w:rPr>
          <w:rFonts w:eastAsia="Times New Roman" w:cs="Times New Roman"/>
          <w:szCs w:val="28"/>
          <w:u w:color="000000"/>
          <w:shd w:val="clear" w:color="auto" w:fill="FFFFFF"/>
          <w:lang w:val="vi-VN"/>
        </w:rPr>
        <w:t>, góp phần thực hiện mục tiêu cải cách tư pháp, xây dựng Nhà nước pháp quyền xã hội chủ nghĩa của Nhân dân, do Nhân dân và vì Nhân dân, xây dựng xã hội dân chủ, công bằng, văn minh.</w:t>
      </w:r>
    </w:p>
    <w:p w:rsidR="00580BC3" w:rsidRPr="00580BC3" w:rsidRDefault="00580BC3" w:rsidP="00580BC3">
      <w:pPr>
        <w:shd w:val="clear" w:color="auto" w:fill="FFFFFF"/>
        <w:spacing w:after="0" w:line="240" w:lineRule="auto"/>
        <w:ind w:firstLine="108"/>
        <w:jc w:val="right"/>
        <w:textAlignment w:val="baseline"/>
        <w:rPr>
          <w:rFonts w:eastAsia="Times New Roman" w:cs="Times New Roman"/>
          <w:b/>
          <w:bCs/>
          <w:sz w:val="24"/>
          <w:szCs w:val="24"/>
          <w:u w:color="000000"/>
          <w:shd w:val="clear" w:color="auto" w:fill="FFFFFF"/>
          <w:lang w:val="vi-VN"/>
        </w:rPr>
      </w:pPr>
      <w:r w:rsidRPr="00580BC3">
        <w:rPr>
          <w:rFonts w:eastAsia="Times New Roman" w:cs="Times New Roman"/>
          <w:sz w:val="24"/>
          <w:szCs w:val="24"/>
          <w:u w:color="000000"/>
          <w:shd w:val="clear" w:color="auto" w:fill="FFFFFF"/>
          <w:lang w:val="vi-VN"/>
        </w:rPr>
        <w:t xml:space="preserve">                                                                              </w:t>
      </w:r>
      <w:r w:rsidRPr="00580BC3">
        <w:rPr>
          <w:rFonts w:eastAsia="Times New Roman" w:cs="Times New Roman"/>
          <w:b/>
          <w:bCs/>
          <w:sz w:val="24"/>
          <w:szCs w:val="24"/>
          <w:u w:color="000000"/>
          <w:shd w:val="clear" w:color="auto" w:fill="FFFFFF"/>
          <w:lang w:val="vi-VN"/>
        </w:rPr>
        <w:t>NGUYỄN MINH PHƯƠNG</w:t>
      </w:r>
    </w:p>
    <w:p w:rsidR="00580BC3" w:rsidRPr="00580BC3" w:rsidRDefault="00580BC3" w:rsidP="00580BC3">
      <w:pPr>
        <w:shd w:val="clear" w:color="auto" w:fill="FFFFFF"/>
        <w:spacing w:after="0" w:line="240" w:lineRule="auto"/>
        <w:jc w:val="both"/>
        <w:textAlignment w:val="baseline"/>
        <w:rPr>
          <w:rFonts w:eastAsia="Times New Roman" w:cs="Times New Roman"/>
          <w:b/>
          <w:bCs/>
          <w:sz w:val="24"/>
          <w:szCs w:val="24"/>
          <w:u w:color="000000"/>
          <w:lang w:val="vi-VN"/>
        </w:rPr>
      </w:pPr>
      <w:r w:rsidRPr="00580BC3">
        <w:rPr>
          <w:rFonts w:eastAsia="Times New Roman" w:cs="Times New Roman"/>
          <w:b/>
          <w:bCs/>
          <w:sz w:val="24"/>
          <w:szCs w:val="24"/>
          <w:u w:color="000000"/>
          <w:lang w:val="vi-VN"/>
        </w:rPr>
        <w:t>Tài liệu tham khảo:</w:t>
      </w:r>
    </w:p>
    <w:p w:rsidR="00580BC3" w:rsidRPr="00580BC3" w:rsidRDefault="00580BC3" w:rsidP="00580BC3">
      <w:pPr>
        <w:spacing w:after="0" w:line="240" w:lineRule="auto"/>
        <w:jc w:val="both"/>
        <w:rPr>
          <w:rFonts w:eastAsia="Calibri" w:cs="Times New Roman"/>
          <w:sz w:val="24"/>
          <w:szCs w:val="24"/>
          <w:u w:color="000000"/>
          <w:shd w:val="clear" w:color="auto" w:fill="FFFFFF"/>
          <w:lang w:val="vi-VN"/>
        </w:rPr>
      </w:pPr>
      <w:r w:rsidRPr="00580BC3">
        <w:rPr>
          <w:rFonts w:eastAsia="Calibri" w:cs="Times New Roman"/>
          <w:sz w:val="24"/>
          <w:szCs w:val="24"/>
          <w:u w:color="000000"/>
          <w:shd w:val="clear" w:color="auto" w:fill="FFFFFF"/>
          <w:lang w:val="vi-VN"/>
        </w:rPr>
        <w:t xml:space="preserve">1. </w:t>
      </w:r>
      <w:r w:rsidRPr="00580BC3">
        <w:rPr>
          <w:rFonts w:eastAsia="Calibri" w:cs="Times New Roman"/>
          <w:i/>
          <w:iCs/>
          <w:sz w:val="24"/>
          <w:szCs w:val="24"/>
          <w:u w:color="000000"/>
          <w:shd w:val="clear" w:color="auto" w:fill="FFFFFF"/>
          <w:lang w:val="vi-VN"/>
        </w:rPr>
        <w:t>Luật Trợ giúp pháp lý năm 2017</w:t>
      </w:r>
      <w:r w:rsidRPr="00580BC3">
        <w:rPr>
          <w:rFonts w:eastAsia="Calibri" w:cs="Times New Roman"/>
          <w:sz w:val="24"/>
          <w:szCs w:val="24"/>
          <w:u w:color="000000"/>
          <w:shd w:val="clear" w:color="auto" w:fill="FFFFFF"/>
          <w:lang w:val="vi-VN"/>
        </w:rPr>
        <w:t>.</w:t>
      </w:r>
    </w:p>
    <w:p w:rsidR="00580BC3" w:rsidRPr="00580BC3" w:rsidRDefault="00580BC3" w:rsidP="00580BC3">
      <w:pPr>
        <w:tabs>
          <w:tab w:val="left" w:pos="108"/>
        </w:tabs>
        <w:spacing w:after="0" w:line="240" w:lineRule="auto"/>
        <w:jc w:val="both"/>
        <w:rPr>
          <w:rFonts w:eastAsia="Calibri" w:cs="Times New Roman"/>
          <w:sz w:val="24"/>
          <w:szCs w:val="24"/>
          <w:u w:color="000000"/>
          <w:shd w:val="clear" w:color="auto" w:fill="FFFFFF"/>
          <w:lang w:val="vi-VN"/>
        </w:rPr>
      </w:pPr>
      <w:r w:rsidRPr="00580BC3">
        <w:rPr>
          <w:rFonts w:eastAsia="Calibri" w:cs="Times New Roman"/>
          <w:sz w:val="24"/>
          <w:szCs w:val="24"/>
          <w:u w:color="000000"/>
          <w:shd w:val="clear" w:color="auto" w:fill="FFFFFF"/>
          <w:lang w:val="vi-VN"/>
        </w:rPr>
        <w:t xml:space="preserve">2. </w:t>
      </w:r>
      <w:r w:rsidRPr="00580BC3">
        <w:rPr>
          <w:rFonts w:eastAsia="Calibri" w:cs="Times New Roman"/>
          <w:i/>
          <w:iCs/>
          <w:sz w:val="24"/>
          <w:szCs w:val="24"/>
          <w:u w:color="000000"/>
          <w:shd w:val="clear" w:color="auto" w:fill="FFFFFF"/>
          <w:lang w:val="vi-VN"/>
        </w:rPr>
        <w:t>Thông tư số 05/2022/TT-BTP ngày 05.9.2022 của Bộ trưởng Bộ Tư pháp quy định về mã số, tiêu chuẩn và xếp lương đối với chức danh nghề nghiệp viên chức Trợ giúp viên pháp lý</w:t>
      </w:r>
      <w:r w:rsidRPr="00580BC3">
        <w:rPr>
          <w:rFonts w:eastAsia="Calibri" w:cs="Times New Roman"/>
          <w:sz w:val="24"/>
          <w:szCs w:val="24"/>
          <w:u w:color="000000"/>
          <w:shd w:val="clear" w:color="auto" w:fill="FFFFFF"/>
          <w:lang w:val="vi-VN"/>
        </w:rPr>
        <w:t>.</w:t>
      </w:r>
    </w:p>
    <w:p w:rsidR="00580BC3" w:rsidRPr="00580BC3" w:rsidRDefault="00580BC3" w:rsidP="00580BC3">
      <w:pPr>
        <w:tabs>
          <w:tab w:val="left" w:pos="108"/>
        </w:tabs>
        <w:spacing w:after="0" w:line="240" w:lineRule="auto"/>
        <w:jc w:val="both"/>
        <w:rPr>
          <w:rFonts w:eastAsia="Calibri" w:cs="Times New Roman"/>
          <w:i/>
          <w:iCs/>
          <w:sz w:val="24"/>
          <w:szCs w:val="24"/>
          <w:u w:color="000000"/>
          <w:lang w:val="vi-VN"/>
        </w:rPr>
      </w:pPr>
      <w:r w:rsidRPr="00580BC3">
        <w:rPr>
          <w:rFonts w:eastAsia="Calibri" w:cs="Times New Roman"/>
          <w:sz w:val="24"/>
          <w:szCs w:val="24"/>
          <w:u w:color="000000"/>
          <w:shd w:val="clear" w:color="auto" w:fill="FFFFFF"/>
          <w:lang w:val="vi-VN"/>
        </w:rPr>
        <w:t xml:space="preserve">3. </w:t>
      </w:r>
      <w:r w:rsidRPr="00580BC3">
        <w:rPr>
          <w:rFonts w:eastAsia="Calibri" w:cs="Times New Roman"/>
          <w:i/>
          <w:sz w:val="24"/>
          <w:szCs w:val="24"/>
          <w:u w:color="000000"/>
          <w:shd w:val="clear" w:color="auto" w:fill="FFFFFF"/>
          <w:lang w:val="vi-VN"/>
        </w:rPr>
        <w:t>Tài liệu hướng dẫn đánh giá chật lượng trợ giúp pháp lý</w:t>
      </w:r>
      <w:r w:rsidRPr="00580BC3">
        <w:rPr>
          <w:rFonts w:eastAsia="Calibri" w:cs="Times New Roman"/>
          <w:sz w:val="24"/>
          <w:szCs w:val="24"/>
          <w:u w:color="000000"/>
          <w:shd w:val="clear" w:color="auto" w:fill="FFFFFF"/>
          <w:lang w:val="vi-VN"/>
        </w:rPr>
        <w:t xml:space="preserve"> https://tgpl.moj.gov.vn/Pages/hoi-nhap-phat-trien.aspx?ItemID=3&amp;l=Nghiencuuhoptac</w:t>
      </w:r>
    </w:p>
    <w:p w:rsidR="00580BC3" w:rsidRPr="00580BC3" w:rsidRDefault="00580BC3" w:rsidP="00580BC3">
      <w:pPr>
        <w:spacing w:after="0" w:line="240" w:lineRule="auto"/>
        <w:ind w:firstLine="108"/>
        <w:jc w:val="both"/>
        <w:rPr>
          <w:rFonts w:eastAsia="Calibri" w:cs="Times New Roman"/>
          <w:sz w:val="24"/>
          <w:szCs w:val="24"/>
          <w:u w:color="000000"/>
          <w:lang w:val="vi-VN"/>
        </w:rPr>
      </w:pP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C3"/>
    <w:rsid w:val="002133F0"/>
    <w:rsid w:val="004B574E"/>
    <w:rsid w:val="00580BC3"/>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CB9BE-D7C1-4CD4-AB79-683C884B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wnet.vn/vb/Luat-Tro-giup-phap-ly-2017-4ED7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2025-12-08T07:21:00Z</dcterms:created>
  <dcterms:modified xsi:type="dcterms:W3CDTF">2025-12-08T07:21:00Z</dcterms:modified>
</cp:coreProperties>
</file>